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CFDB" w14:textId="1C6EC9C1" w:rsidR="008932DC" w:rsidRDefault="00000000" w:rsidP="008932DC">
      <w:pPr>
        <w:spacing w:before="78"/>
        <w:ind w:left="3821" w:hanging="3379"/>
        <w:contextualSpacing/>
        <w:rPr>
          <w:b/>
          <w:sz w:val="40"/>
          <w:szCs w:val="40"/>
        </w:rPr>
      </w:pPr>
      <w:sdt>
        <w:sdtPr>
          <w:tag w:val="goog_rdk_0"/>
          <w:id w:val="1600978902"/>
        </w:sdtPr>
        <w:sdtEndPr>
          <w:rPr>
            <w:sz w:val="40"/>
            <w:szCs w:val="40"/>
          </w:rPr>
        </w:sdtEndPr>
        <w:sdtContent>
          <w:r w:rsidR="008932DC">
            <w:t xml:space="preserve">      </w:t>
          </w:r>
        </w:sdtContent>
      </w:sdt>
      <w:r w:rsidR="008932DC" w:rsidRPr="008932DC">
        <w:rPr>
          <w:b/>
          <w:sz w:val="40"/>
          <w:szCs w:val="40"/>
        </w:rPr>
        <w:t>Reforma</w:t>
      </w:r>
      <w:r w:rsidR="008932DC" w:rsidRPr="008932DC">
        <w:rPr>
          <w:b/>
          <w:spacing w:val="-7"/>
          <w:sz w:val="40"/>
          <w:szCs w:val="40"/>
        </w:rPr>
        <w:t xml:space="preserve"> </w:t>
      </w:r>
      <w:r w:rsidR="008932DC" w:rsidRPr="008932DC">
        <w:rPr>
          <w:b/>
          <w:sz w:val="40"/>
          <w:szCs w:val="40"/>
        </w:rPr>
        <w:t>Tributária</w:t>
      </w:r>
      <w:r w:rsidR="008932DC" w:rsidRPr="008932DC">
        <w:rPr>
          <w:b/>
          <w:spacing w:val="-5"/>
          <w:sz w:val="40"/>
          <w:szCs w:val="40"/>
        </w:rPr>
        <w:t xml:space="preserve"> </w:t>
      </w:r>
      <w:r w:rsidR="008932DC" w:rsidRPr="008932DC">
        <w:rPr>
          <w:b/>
          <w:sz w:val="40"/>
          <w:szCs w:val="40"/>
        </w:rPr>
        <w:t>e</w:t>
      </w:r>
      <w:r w:rsidR="008932DC" w:rsidRPr="008932DC">
        <w:rPr>
          <w:b/>
          <w:spacing w:val="-7"/>
          <w:sz w:val="40"/>
          <w:szCs w:val="40"/>
        </w:rPr>
        <w:t xml:space="preserve"> </w:t>
      </w:r>
      <w:r w:rsidR="008932DC" w:rsidRPr="008932DC">
        <w:rPr>
          <w:b/>
          <w:sz w:val="40"/>
          <w:szCs w:val="40"/>
        </w:rPr>
        <w:t>implicações</w:t>
      </w:r>
      <w:r w:rsidR="008932DC" w:rsidRPr="008932DC">
        <w:rPr>
          <w:b/>
          <w:spacing w:val="-5"/>
          <w:sz w:val="40"/>
          <w:szCs w:val="40"/>
        </w:rPr>
        <w:t xml:space="preserve"> </w:t>
      </w:r>
      <w:r w:rsidR="008932DC" w:rsidRPr="008932DC">
        <w:rPr>
          <w:b/>
          <w:sz w:val="40"/>
          <w:szCs w:val="40"/>
        </w:rPr>
        <w:t>na</w:t>
      </w:r>
      <w:r w:rsidR="008932DC" w:rsidRPr="008932DC">
        <w:rPr>
          <w:b/>
          <w:spacing w:val="-6"/>
          <w:sz w:val="40"/>
          <w:szCs w:val="40"/>
        </w:rPr>
        <w:t xml:space="preserve"> </w:t>
      </w:r>
      <w:r w:rsidR="008932DC" w:rsidRPr="008932DC">
        <w:rPr>
          <w:b/>
          <w:sz w:val="40"/>
          <w:szCs w:val="40"/>
        </w:rPr>
        <w:t>partilh</w:t>
      </w:r>
      <w:r w:rsidR="008932DC">
        <w:rPr>
          <w:b/>
          <w:sz w:val="40"/>
          <w:szCs w:val="40"/>
        </w:rPr>
        <w:t>a</w:t>
      </w:r>
    </w:p>
    <w:p w14:paraId="369A1B37" w14:textId="39E68AC7" w:rsidR="008932DC" w:rsidRPr="008932DC" w:rsidRDefault="008932DC" w:rsidP="008932DC">
      <w:pPr>
        <w:spacing w:before="78"/>
        <w:ind w:left="3821" w:hanging="3379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8932DC">
        <w:rPr>
          <w:b/>
          <w:sz w:val="40"/>
          <w:szCs w:val="40"/>
        </w:rPr>
        <w:t>do</w:t>
      </w:r>
      <w:r w:rsidRPr="008932DC">
        <w:rPr>
          <w:b/>
          <w:spacing w:val="-6"/>
          <w:sz w:val="40"/>
          <w:szCs w:val="40"/>
        </w:rPr>
        <w:t xml:space="preserve"> </w:t>
      </w:r>
      <w:r w:rsidRPr="008932DC">
        <w:rPr>
          <w:b/>
          <w:sz w:val="40"/>
          <w:szCs w:val="40"/>
        </w:rPr>
        <w:t>ICMS</w:t>
      </w:r>
      <w:r w:rsidRPr="008932DC">
        <w:rPr>
          <w:b/>
          <w:spacing w:val="-6"/>
          <w:sz w:val="40"/>
          <w:szCs w:val="40"/>
        </w:rPr>
        <w:t xml:space="preserve"> </w:t>
      </w:r>
      <w:r w:rsidRPr="008932DC">
        <w:rPr>
          <w:b/>
          <w:sz w:val="40"/>
          <w:szCs w:val="40"/>
        </w:rPr>
        <w:t>entre</w:t>
      </w:r>
      <w:r w:rsidRPr="008932DC">
        <w:rPr>
          <w:b/>
          <w:spacing w:val="-5"/>
          <w:sz w:val="40"/>
          <w:szCs w:val="40"/>
        </w:rPr>
        <w:t xml:space="preserve"> </w:t>
      </w:r>
      <w:r w:rsidRPr="008932DC">
        <w:rPr>
          <w:b/>
          <w:sz w:val="40"/>
          <w:szCs w:val="40"/>
        </w:rPr>
        <w:t>Governo</w:t>
      </w:r>
      <w:r w:rsidRPr="008932DC">
        <w:rPr>
          <w:b/>
          <w:spacing w:val="-7"/>
          <w:sz w:val="40"/>
          <w:szCs w:val="40"/>
        </w:rPr>
        <w:t xml:space="preserve"> </w:t>
      </w:r>
      <w:r>
        <w:rPr>
          <w:b/>
          <w:spacing w:val="-7"/>
          <w:sz w:val="40"/>
          <w:szCs w:val="40"/>
        </w:rPr>
        <w:t xml:space="preserve"> </w:t>
      </w:r>
      <w:r w:rsidRPr="008932DC">
        <w:rPr>
          <w:b/>
          <w:sz w:val="40"/>
          <w:szCs w:val="40"/>
        </w:rPr>
        <w:t>Estadual</w:t>
      </w:r>
      <w:r w:rsidRPr="008932DC">
        <w:rPr>
          <w:b/>
          <w:spacing w:val="-6"/>
          <w:sz w:val="40"/>
          <w:szCs w:val="40"/>
        </w:rPr>
        <w:t xml:space="preserve"> </w:t>
      </w:r>
      <w:r w:rsidRPr="008932DC">
        <w:rPr>
          <w:b/>
          <w:sz w:val="40"/>
          <w:szCs w:val="40"/>
        </w:rPr>
        <w:t>e</w:t>
      </w:r>
      <w:r w:rsidRPr="008932DC">
        <w:rPr>
          <w:b/>
          <w:spacing w:val="-51"/>
          <w:sz w:val="40"/>
          <w:szCs w:val="40"/>
        </w:rPr>
        <w:t xml:space="preserve"> </w:t>
      </w:r>
      <w:r w:rsidRPr="008932DC">
        <w:rPr>
          <w:b/>
          <w:sz w:val="40"/>
          <w:szCs w:val="40"/>
        </w:rPr>
        <w:t>Municípios</w:t>
      </w:r>
    </w:p>
    <w:p w14:paraId="5112EA44" w14:textId="77777777" w:rsidR="008932DC" w:rsidRDefault="008932DC" w:rsidP="008932DC">
      <w:pPr>
        <w:pStyle w:val="Corpodetexto"/>
        <w:rPr>
          <w:b/>
          <w:sz w:val="28"/>
        </w:rPr>
      </w:pPr>
    </w:p>
    <w:p w14:paraId="5DB21203" w14:textId="77777777" w:rsidR="008932DC" w:rsidRPr="008932DC" w:rsidRDefault="008932DC" w:rsidP="008932DC">
      <w:pPr>
        <w:pStyle w:val="Ttulo1"/>
        <w:spacing w:before="186"/>
        <w:rPr>
          <w:sz w:val="40"/>
          <w:szCs w:val="40"/>
        </w:rPr>
      </w:pPr>
      <w:r w:rsidRPr="008932DC">
        <w:rPr>
          <w:color w:val="2F5496"/>
          <w:sz w:val="40"/>
          <w:szCs w:val="40"/>
        </w:rPr>
        <w:t>Introdução</w:t>
      </w:r>
    </w:p>
    <w:p w14:paraId="1369D8BB" w14:textId="77777777" w:rsidR="008932DC" w:rsidRDefault="008932DC" w:rsidP="008932DC">
      <w:pPr>
        <w:pStyle w:val="Corpodetexto"/>
        <w:spacing w:before="300" w:line="276" w:lineRule="auto"/>
        <w:ind w:left="119" w:right="114" w:firstLine="708"/>
        <w:jc w:val="both"/>
      </w:pPr>
      <w:r>
        <w:t>A</w:t>
      </w:r>
      <w:r>
        <w:rPr>
          <w:spacing w:val="-8"/>
        </w:rPr>
        <w:t xml:space="preserve"> </w:t>
      </w:r>
      <w:r>
        <w:t>Câmara</w:t>
      </w:r>
      <w:r>
        <w:rPr>
          <w:spacing w:val="-7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aprovou,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dois</w:t>
      </w:r>
      <w:r>
        <w:rPr>
          <w:spacing w:val="-8"/>
        </w:rPr>
        <w:t xml:space="preserve"> </w:t>
      </w:r>
      <w:r>
        <w:t>turnos,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substitutivo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Emenda</w:t>
      </w:r>
      <w:r>
        <w:rPr>
          <w:spacing w:val="-52"/>
        </w:rPr>
        <w:t xml:space="preserve"> </w:t>
      </w:r>
      <w:r>
        <w:t>à Constituição Nº 45, de 2019 no dia 07 de julho de 2023. O texto, agora, seguirá ao</w:t>
      </w:r>
      <w:r>
        <w:rPr>
          <w:spacing w:val="1"/>
        </w:rPr>
        <w:t xml:space="preserve"> </w:t>
      </w:r>
      <w:r>
        <w:t>Senado, visando à confirmação ou eventuais alterações, o que, neste caso, teria por</w:t>
      </w:r>
      <w:r>
        <w:rPr>
          <w:spacing w:val="1"/>
        </w:rPr>
        <w:t xml:space="preserve"> </w:t>
      </w:r>
      <w:r>
        <w:t>consequência</w:t>
      </w:r>
      <w:r>
        <w:rPr>
          <w:spacing w:val="-1"/>
        </w:rPr>
        <w:t xml:space="preserve"> </w:t>
      </w:r>
      <w:r>
        <w:t>o seu retorno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Câmara.</w:t>
      </w:r>
    </w:p>
    <w:p w14:paraId="5EAC3707" w14:textId="77777777" w:rsidR="008932DC" w:rsidRDefault="008932DC" w:rsidP="008932DC">
      <w:pPr>
        <w:pStyle w:val="Corpodetexto"/>
        <w:spacing w:before="7"/>
        <w:rPr>
          <w:sz w:val="27"/>
        </w:rPr>
      </w:pPr>
    </w:p>
    <w:p w14:paraId="0FC7F11F" w14:textId="77777777" w:rsidR="008932DC" w:rsidRDefault="008932DC" w:rsidP="008932DC">
      <w:pPr>
        <w:pStyle w:val="Corpodetexto"/>
        <w:spacing w:before="1" w:line="276" w:lineRule="auto"/>
        <w:ind w:left="119" w:right="114" w:firstLine="708"/>
        <w:jc w:val="both"/>
      </w:pPr>
      <w:r>
        <w:t>Essa análise objetiva esclarecer eventuais impactos provocados na partilha do</w:t>
      </w:r>
      <w:r>
        <w:rPr>
          <w:spacing w:val="1"/>
        </w:rPr>
        <w:t xml:space="preserve"> </w:t>
      </w:r>
      <w:r>
        <w:t>ICMS entre Governos Estaduais e Municípios. Para tal análise, apresentaremos, na</w:t>
      </w:r>
      <w:r>
        <w:rPr>
          <w:spacing w:val="1"/>
        </w:rPr>
        <w:t xml:space="preserve"> </w:t>
      </w:r>
      <w:r>
        <w:t>sequência, o que vigora atualmente, as alterações propostas na Câmara e os impactos</w:t>
      </w:r>
      <w:r>
        <w:rPr>
          <w:spacing w:val="1"/>
        </w:rPr>
        <w:t xml:space="preserve"> </w:t>
      </w:r>
      <w:r>
        <w:t>das mesmas.</w:t>
      </w:r>
    </w:p>
    <w:p w14:paraId="026DC1A5" w14:textId="77777777" w:rsidR="008932DC" w:rsidRPr="008932DC" w:rsidRDefault="008932DC" w:rsidP="008932DC">
      <w:pPr>
        <w:pStyle w:val="Ttulo1"/>
        <w:rPr>
          <w:sz w:val="40"/>
          <w:szCs w:val="40"/>
        </w:rPr>
      </w:pPr>
      <w:r w:rsidRPr="008932DC">
        <w:rPr>
          <w:color w:val="2F5496"/>
          <w:sz w:val="40"/>
          <w:szCs w:val="40"/>
        </w:rPr>
        <w:t>Regra</w:t>
      </w:r>
      <w:r w:rsidRPr="008932DC">
        <w:rPr>
          <w:color w:val="2F5496"/>
          <w:spacing w:val="-7"/>
          <w:sz w:val="40"/>
          <w:szCs w:val="40"/>
        </w:rPr>
        <w:t xml:space="preserve"> </w:t>
      </w:r>
      <w:r w:rsidRPr="008932DC">
        <w:rPr>
          <w:color w:val="2F5496"/>
          <w:sz w:val="40"/>
          <w:szCs w:val="40"/>
        </w:rPr>
        <w:t>atual</w:t>
      </w:r>
      <w:r w:rsidRPr="008932DC">
        <w:rPr>
          <w:color w:val="2F5496"/>
          <w:spacing w:val="-7"/>
          <w:sz w:val="40"/>
          <w:szCs w:val="40"/>
        </w:rPr>
        <w:t xml:space="preserve"> </w:t>
      </w:r>
      <w:r w:rsidRPr="008932DC">
        <w:rPr>
          <w:color w:val="2F5496"/>
          <w:sz w:val="40"/>
          <w:szCs w:val="40"/>
        </w:rPr>
        <w:t>de</w:t>
      </w:r>
      <w:r w:rsidRPr="008932DC">
        <w:rPr>
          <w:color w:val="2F5496"/>
          <w:spacing w:val="-7"/>
          <w:sz w:val="40"/>
          <w:szCs w:val="40"/>
        </w:rPr>
        <w:t xml:space="preserve"> </w:t>
      </w:r>
      <w:r w:rsidRPr="008932DC">
        <w:rPr>
          <w:color w:val="2F5496"/>
          <w:sz w:val="40"/>
          <w:szCs w:val="40"/>
        </w:rPr>
        <w:t>distribuição</w:t>
      </w:r>
    </w:p>
    <w:p w14:paraId="47AA82C6" w14:textId="77777777" w:rsidR="008932DC" w:rsidRDefault="008932DC" w:rsidP="008932DC">
      <w:pPr>
        <w:pStyle w:val="Corpodetexto"/>
        <w:spacing w:before="1"/>
        <w:rPr>
          <w:rFonts w:ascii="Calibri Light"/>
          <w:sz w:val="52"/>
        </w:rPr>
      </w:pPr>
    </w:p>
    <w:p w14:paraId="7367C9BC" w14:textId="77777777" w:rsidR="008932DC" w:rsidRDefault="008932DC" w:rsidP="008932DC">
      <w:pPr>
        <w:pStyle w:val="Corpodetexto"/>
        <w:spacing w:before="1" w:line="276" w:lineRule="auto"/>
        <w:ind w:left="119" w:right="114" w:firstLine="708"/>
        <w:jc w:val="both"/>
      </w:pPr>
      <w:r>
        <w:t>Na Seção VI da Constituição Federal, que trata das repartições das receitas</w:t>
      </w:r>
      <w:r>
        <w:rPr>
          <w:spacing w:val="1"/>
        </w:rPr>
        <w:t xml:space="preserve"> </w:t>
      </w:r>
      <w:r>
        <w:t>tributárias,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158</w:t>
      </w:r>
      <w:r>
        <w:rPr>
          <w:spacing w:val="1"/>
        </w:rPr>
        <w:t xml:space="preserve"> </w:t>
      </w:r>
      <w:r>
        <w:t>(Relacionado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pertence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municípios),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recepcionada</w:t>
      </w:r>
      <w:r>
        <w:rPr>
          <w:spacing w:val="-4"/>
        </w:rPr>
        <w:t xml:space="preserve"> </w:t>
      </w:r>
      <w:r>
        <w:t>mudança</w:t>
      </w:r>
      <w:r>
        <w:rPr>
          <w:spacing w:val="-4"/>
        </w:rPr>
        <w:t xml:space="preserve"> </w:t>
      </w:r>
      <w:r>
        <w:t>recente,</w:t>
      </w:r>
      <w:r>
        <w:rPr>
          <w:spacing w:val="-3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EC</w:t>
      </w:r>
      <w:r>
        <w:rPr>
          <w:spacing w:val="-3"/>
        </w:rPr>
        <w:t xml:space="preserve"> </w:t>
      </w:r>
      <w:r>
        <w:t>108/20,</w:t>
      </w:r>
      <w:r>
        <w:rPr>
          <w:spacing w:val="-4"/>
        </w:rPr>
        <w:t xml:space="preserve"> </w:t>
      </w:r>
      <w:r>
        <w:t>restando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forma:</w:t>
      </w:r>
    </w:p>
    <w:p w14:paraId="6FB3200A" w14:textId="77777777" w:rsidR="008932DC" w:rsidRDefault="008932DC" w:rsidP="008932DC">
      <w:pPr>
        <w:pStyle w:val="Corpodetexto"/>
        <w:spacing w:before="8"/>
        <w:rPr>
          <w:sz w:val="27"/>
        </w:rPr>
      </w:pPr>
    </w:p>
    <w:p w14:paraId="45E10B74" w14:textId="77777777" w:rsidR="008932DC" w:rsidRDefault="008932DC" w:rsidP="008932DC">
      <w:pPr>
        <w:ind w:left="119"/>
        <w:rPr>
          <w:rFonts w:ascii="Arial MT" w:hAnsi="Arial MT"/>
          <w:sz w:val="20"/>
        </w:rPr>
      </w:pPr>
      <w:r>
        <w:rPr>
          <w:sz w:val="24"/>
        </w:rPr>
        <w:t>“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158.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Pertencem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Municípios:</w:t>
      </w:r>
    </w:p>
    <w:p w14:paraId="658149AA" w14:textId="77777777" w:rsidR="008932DC" w:rsidRDefault="008932DC" w:rsidP="008932DC">
      <w:pPr>
        <w:spacing w:before="41"/>
        <w:ind w:left="119"/>
        <w:rPr>
          <w:rFonts w:ascii="Arial MT"/>
          <w:sz w:val="20"/>
        </w:rPr>
      </w:pPr>
      <w:r>
        <w:rPr>
          <w:rFonts w:ascii="Arial MT"/>
          <w:sz w:val="20"/>
        </w:rPr>
        <w:t>.....</w:t>
      </w:r>
    </w:p>
    <w:p w14:paraId="2BF3E782" w14:textId="77777777" w:rsidR="008932DC" w:rsidRDefault="008932DC" w:rsidP="008932DC">
      <w:pPr>
        <w:pStyle w:val="Corpodetexto"/>
        <w:spacing w:before="2"/>
        <w:rPr>
          <w:rFonts w:ascii="Arial MT"/>
          <w:sz w:val="27"/>
        </w:rPr>
      </w:pPr>
    </w:p>
    <w:p w14:paraId="47053D85" w14:textId="77777777" w:rsidR="008932DC" w:rsidRDefault="008932DC" w:rsidP="008932DC">
      <w:pPr>
        <w:ind w:left="119" w:right="113" w:firstLine="57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IV - </w:t>
      </w:r>
      <w:r>
        <w:rPr>
          <w:rFonts w:ascii="Arial" w:hAnsi="Arial"/>
          <w:b/>
          <w:i/>
          <w:sz w:val="20"/>
        </w:rPr>
        <w:t xml:space="preserve">vinte e cinco por cento </w:t>
      </w:r>
      <w:r>
        <w:rPr>
          <w:rFonts w:ascii="Arial" w:hAnsi="Arial"/>
          <w:i/>
          <w:sz w:val="20"/>
        </w:rPr>
        <w:t>do produto da arrecadação do imposto do Estado sobre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operações relativas à circulação de mercadorias e sobre prestações de serviços de transporte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interestadual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intermunicipal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comunicação </w:t>
      </w:r>
      <w:r>
        <w:rPr>
          <w:rFonts w:ascii="Arial" w:hAnsi="Arial"/>
          <w:b/>
          <w:i/>
          <w:sz w:val="20"/>
        </w:rPr>
        <w:t>(ICMS).</w:t>
      </w:r>
    </w:p>
    <w:p w14:paraId="2F15E23F" w14:textId="77777777" w:rsidR="008932DC" w:rsidRDefault="008932DC" w:rsidP="008932DC">
      <w:pPr>
        <w:pStyle w:val="Corpodetexto"/>
        <w:spacing w:before="3"/>
        <w:rPr>
          <w:rFonts w:ascii="Arial"/>
          <w:b/>
          <w:i/>
        </w:rPr>
      </w:pPr>
    </w:p>
    <w:p w14:paraId="759556F0" w14:textId="77777777" w:rsidR="008932DC" w:rsidRDefault="008932DC" w:rsidP="008932DC">
      <w:pPr>
        <w:ind w:left="119" w:right="113" w:firstLine="57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Parágrafo único. As parcelas de receita pertencentes aos Municípios, mencionadas no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inciso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IV,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serão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creditadas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conforme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seguintes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critérios</w:t>
      </w:r>
      <w:r>
        <w:rPr>
          <w:rFonts w:ascii="Arial" w:hAnsi="Arial"/>
          <w:i/>
          <w:sz w:val="20"/>
        </w:rPr>
        <w:t>:</w:t>
      </w:r>
    </w:p>
    <w:p w14:paraId="7D351D09" w14:textId="77777777" w:rsidR="008932DC" w:rsidRDefault="008932DC" w:rsidP="008932DC">
      <w:pPr>
        <w:pStyle w:val="Corpodetexto"/>
        <w:spacing w:before="4"/>
        <w:rPr>
          <w:rFonts w:ascii="Arial"/>
          <w:i/>
        </w:rPr>
      </w:pPr>
    </w:p>
    <w:p w14:paraId="79A7D92D" w14:textId="77777777" w:rsidR="008932DC" w:rsidRDefault="008932DC" w:rsidP="008932DC">
      <w:pPr>
        <w:pStyle w:val="PargrafodaLista"/>
        <w:numPr>
          <w:ilvl w:val="0"/>
          <w:numId w:val="1"/>
        </w:numPr>
        <w:tabs>
          <w:tab w:val="left" w:pos="807"/>
        </w:tabs>
        <w:ind w:right="115" w:firstLine="57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- </w:t>
      </w:r>
      <w:r>
        <w:rPr>
          <w:rFonts w:ascii="Arial" w:hAnsi="Arial"/>
          <w:b/>
          <w:i/>
          <w:sz w:val="20"/>
        </w:rPr>
        <w:t xml:space="preserve">65% </w:t>
      </w:r>
      <w:r>
        <w:rPr>
          <w:rFonts w:ascii="Arial" w:hAnsi="Arial"/>
          <w:i/>
          <w:sz w:val="20"/>
        </w:rPr>
        <w:t xml:space="preserve">(sessenta e cinco por cento), no mínimo, na proporção do </w:t>
      </w:r>
      <w:r>
        <w:rPr>
          <w:rFonts w:ascii="Arial" w:hAnsi="Arial"/>
          <w:b/>
          <w:i/>
          <w:sz w:val="20"/>
        </w:rPr>
        <w:t xml:space="preserve">valor adicionado </w:t>
      </w:r>
      <w:r>
        <w:rPr>
          <w:rFonts w:ascii="Arial" w:hAnsi="Arial"/>
          <w:i/>
          <w:sz w:val="20"/>
        </w:rPr>
        <w:t>nas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operações relativas à circulação de mercadorias e nas prestações de serviços, realizadas em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seus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territórios;</w:t>
      </w:r>
    </w:p>
    <w:p w14:paraId="37439DBE" w14:textId="77777777" w:rsidR="008932DC" w:rsidRDefault="008932DC" w:rsidP="008932DC">
      <w:pPr>
        <w:pStyle w:val="Corpodetexto"/>
        <w:spacing w:before="3"/>
        <w:rPr>
          <w:rFonts w:ascii="Arial"/>
          <w:i/>
        </w:rPr>
      </w:pPr>
    </w:p>
    <w:p w14:paraId="38074862" w14:textId="77777777" w:rsidR="008932DC" w:rsidRDefault="008932DC" w:rsidP="008932DC">
      <w:pPr>
        <w:pStyle w:val="PargrafodaLista"/>
        <w:numPr>
          <w:ilvl w:val="0"/>
          <w:numId w:val="1"/>
        </w:numPr>
        <w:tabs>
          <w:tab w:val="left" w:pos="874"/>
        </w:tabs>
        <w:ind w:firstLine="57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- </w:t>
      </w:r>
      <w:r>
        <w:rPr>
          <w:rFonts w:ascii="Arial" w:hAnsi="Arial"/>
          <w:b/>
          <w:i/>
          <w:sz w:val="20"/>
        </w:rPr>
        <w:t>até 35% (trinta e cinco por cento), de acordo com o que dispuser lei estadual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observada, obrigatoriamente, a distribuição de, no mínimo, </w:t>
      </w:r>
      <w:r>
        <w:rPr>
          <w:rFonts w:ascii="Arial" w:hAnsi="Arial"/>
          <w:b/>
          <w:i/>
          <w:sz w:val="20"/>
        </w:rPr>
        <w:t xml:space="preserve">10 (dez) pontos percentuais </w:t>
      </w:r>
      <w:r>
        <w:rPr>
          <w:rFonts w:ascii="Arial" w:hAnsi="Arial"/>
          <w:i/>
          <w:sz w:val="20"/>
        </w:rPr>
        <w:t>com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base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em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indicadores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melhoria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nos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resultados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aprendizagem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aumento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equidade,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considerado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nível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socioeconômico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educandos</w:t>
      </w:r>
      <w:r>
        <w:rPr>
          <w:rFonts w:ascii="Arial" w:hAnsi="Arial"/>
          <w:i/>
          <w:sz w:val="20"/>
        </w:rPr>
        <w:t>.”</w:t>
      </w:r>
    </w:p>
    <w:p w14:paraId="0A70A096" w14:textId="77777777" w:rsidR="008932DC" w:rsidRDefault="008932DC" w:rsidP="008932DC">
      <w:pPr>
        <w:pStyle w:val="Corpodetexto"/>
        <w:rPr>
          <w:rFonts w:ascii="Arial"/>
          <w:i/>
          <w:sz w:val="22"/>
        </w:rPr>
      </w:pPr>
    </w:p>
    <w:p w14:paraId="1DCD4AD3" w14:textId="77777777" w:rsidR="008932DC" w:rsidRDefault="008932DC" w:rsidP="008932DC">
      <w:pPr>
        <w:pStyle w:val="Corpodetexto"/>
        <w:rPr>
          <w:rFonts w:ascii="Arial"/>
          <w:i/>
          <w:sz w:val="22"/>
        </w:rPr>
      </w:pPr>
    </w:p>
    <w:p w14:paraId="67BC3A32" w14:textId="77777777" w:rsidR="008932DC" w:rsidRDefault="008932DC" w:rsidP="008932DC">
      <w:pPr>
        <w:pStyle w:val="Corpodetexto"/>
        <w:spacing w:before="6"/>
        <w:rPr>
          <w:rFonts w:ascii="Arial"/>
          <w:i/>
          <w:sz w:val="26"/>
        </w:rPr>
      </w:pPr>
    </w:p>
    <w:p w14:paraId="3B117D2F" w14:textId="77777777" w:rsidR="008932DC" w:rsidRDefault="008932DC" w:rsidP="008932DC">
      <w:pPr>
        <w:pStyle w:val="Corpodetexto"/>
        <w:spacing w:line="276" w:lineRule="auto"/>
        <w:ind w:left="119" w:right="114" w:firstLine="708"/>
        <w:jc w:val="both"/>
      </w:pPr>
      <w:r>
        <w:t>Segundo o extrato acima, os Estados podem legislar sobre 35% daquilo que</w:t>
      </w:r>
      <w:r>
        <w:rPr>
          <w:spacing w:val="1"/>
        </w:rPr>
        <w:t xml:space="preserve"> </w:t>
      </w:r>
      <w:r>
        <w:t>distribuírem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municípios,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percentuais,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sejam</w:t>
      </w:r>
      <w:r>
        <w:rPr>
          <w:spacing w:val="-52"/>
        </w:rPr>
        <w:t xml:space="preserve"> </w:t>
      </w:r>
      <w:r>
        <w:t>atrelados</w:t>
      </w:r>
      <w:r>
        <w:rPr>
          <w:spacing w:val="-1"/>
        </w:rPr>
        <w:t xml:space="preserve"> </w:t>
      </w:r>
      <w:r>
        <w:t>a critérios educacionais.</w:t>
      </w:r>
    </w:p>
    <w:p w14:paraId="28FC58EE" w14:textId="77777777" w:rsidR="008932DC" w:rsidRDefault="008932DC" w:rsidP="008932DC">
      <w:pPr>
        <w:pStyle w:val="Corpodetexto"/>
        <w:spacing w:before="3"/>
        <w:rPr>
          <w:sz w:val="27"/>
        </w:rPr>
      </w:pPr>
    </w:p>
    <w:p w14:paraId="73EC68AA" w14:textId="77777777" w:rsidR="008932DC" w:rsidRDefault="008932DC" w:rsidP="008932DC">
      <w:pPr>
        <w:pStyle w:val="Corpodetexto"/>
        <w:spacing w:line="278" w:lineRule="auto"/>
        <w:ind w:left="119" w:right="113" w:firstLine="708"/>
        <w:jc w:val="both"/>
      </w:pPr>
      <w:r>
        <w:t>Foram dados aos Governos Estaduais 2 anos, a contar da publicação da EC</w:t>
      </w:r>
      <w:r>
        <w:rPr>
          <w:spacing w:val="1"/>
        </w:rPr>
        <w:t xml:space="preserve"> </w:t>
      </w:r>
      <w:r>
        <w:t>108/20, para adequação ao novo texto constitucional, principalmente no que concerne</w:t>
      </w:r>
      <w:r>
        <w:rPr>
          <w:spacing w:val="-5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mínimo educacional exigido a</w:t>
      </w:r>
      <w:r>
        <w:rPr>
          <w:spacing w:val="-1"/>
        </w:rPr>
        <w:t xml:space="preserve"> </w:t>
      </w:r>
      <w:r>
        <w:t>partir de então.</w:t>
      </w:r>
    </w:p>
    <w:p w14:paraId="4F784987" w14:textId="77777777" w:rsidR="008932DC" w:rsidRDefault="008932DC" w:rsidP="008932DC">
      <w:pPr>
        <w:pStyle w:val="Corpodetexto"/>
        <w:rPr>
          <w:sz w:val="27"/>
        </w:rPr>
      </w:pPr>
    </w:p>
    <w:p w14:paraId="739274F3" w14:textId="77777777" w:rsidR="004F3DBD" w:rsidRPr="004F3DBD" w:rsidRDefault="008932DC" w:rsidP="004F3DBD">
      <w:pPr>
        <w:pStyle w:val="Corpodetexto"/>
        <w:spacing w:line="278" w:lineRule="auto"/>
        <w:ind w:left="119" w:right="113" w:firstLine="708"/>
        <w:jc w:val="both"/>
      </w:pPr>
      <w:r>
        <w:t>Em</w:t>
      </w:r>
      <w:r w:rsidRPr="004F3DBD">
        <w:t xml:space="preserve"> </w:t>
      </w:r>
      <w:r>
        <w:t>2022,</w:t>
      </w:r>
      <w:r w:rsidRPr="004F3DBD">
        <w:t xml:space="preserve"> </w:t>
      </w:r>
      <w:r>
        <w:t>até</w:t>
      </w:r>
      <w:r w:rsidRPr="004F3DBD">
        <w:t xml:space="preserve"> </w:t>
      </w:r>
      <w:r>
        <w:t>o</w:t>
      </w:r>
      <w:r w:rsidRPr="004F3DBD">
        <w:t xml:space="preserve"> </w:t>
      </w:r>
      <w:r>
        <w:t>final</w:t>
      </w:r>
      <w:r w:rsidRPr="004F3DBD">
        <w:t xml:space="preserve"> </w:t>
      </w:r>
      <w:r>
        <w:t>do</w:t>
      </w:r>
      <w:r w:rsidRPr="004F3DBD">
        <w:t xml:space="preserve"> </w:t>
      </w:r>
      <w:r>
        <w:t>exercício,</w:t>
      </w:r>
      <w:r w:rsidRPr="004F3DBD">
        <w:t xml:space="preserve"> </w:t>
      </w:r>
      <w:r>
        <w:t>todos</w:t>
      </w:r>
      <w:r w:rsidRPr="004F3DBD">
        <w:t xml:space="preserve"> </w:t>
      </w:r>
      <w:r>
        <w:t>os</w:t>
      </w:r>
      <w:r w:rsidRPr="004F3DBD">
        <w:t xml:space="preserve"> </w:t>
      </w:r>
      <w:r>
        <w:t>Estados</w:t>
      </w:r>
      <w:r w:rsidRPr="004F3DBD">
        <w:t xml:space="preserve"> </w:t>
      </w:r>
      <w:r>
        <w:t>fizeram</w:t>
      </w:r>
      <w:r w:rsidRPr="004F3DBD">
        <w:t xml:space="preserve"> </w:t>
      </w:r>
      <w:r>
        <w:t>as</w:t>
      </w:r>
      <w:r w:rsidRPr="004F3DBD">
        <w:t xml:space="preserve"> </w:t>
      </w:r>
      <w:r>
        <w:t>respectivas</w:t>
      </w:r>
      <w:r w:rsidRPr="004F3DBD">
        <w:t xml:space="preserve"> </w:t>
      </w:r>
      <w:r>
        <w:t>adequações</w:t>
      </w:r>
      <w:r w:rsidRPr="004F3DBD">
        <w:t xml:space="preserve"> </w:t>
      </w:r>
      <w:r>
        <w:t>legais,</w:t>
      </w:r>
      <w:r w:rsidRPr="004F3DBD">
        <w:t xml:space="preserve"> </w:t>
      </w:r>
      <w:r>
        <w:t>embora</w:t>
      </w:r>
      <w:r w:rsidRPr="004F3DBD">
        <w:t xml:space="preserve"> </w:t>
      </w:r>
      <w:r>
        <w:t>os</w:t>
      </w:r>
      <w:r w:rsidRPr="004F3DBD">
        <w:t xml:space="preserve"> </w:t>
      </w:r>
      <w:r>
        <w:t>efeitos</w:t>
      </w:r>
      <w:r w:rsidRPr="004F3DBD">
        <w:t xml:space="preserve"> </w:t>
      </w:r>
      <w:r>
        <w:t>financeiros</w:t>
      </w:r>
      <w:r w:rsidRPr="004F3DBD">
        <w:t xml:space="preserve"> </w:t>
      </w:r>
      <w:r>
        <w:t>e</w:t>
      </w:r>
      <w:r w:rsidRPr="004F3DBD">
        <w:t xml:space="preserve"> </w:t>
      </w:r>
      <w:r>
        <w:t>de</w:t>
      </w:r>
      <w:r w:rsidRPr="004F3DBD">
        <w:t xml:space="preserve"> </w:t>
      </w:r>
      <w:r>
        <w:t>cálculo</w:t>
      </w:r>
      <w:r w:rsidRPr="004F3DBD">
        <w:t xml:space="preserve"> </w:t>
      </w:r>
      <w:r>
        <w:t>dos</w:t>
      </w:r>
      <w:r w:rsidRPr="004F3DBD">
        <w:t xml:space="preserve"> </w:t>
      </w:r>
      <w:r>
        <w:t>indicadores</w:t>
      </w:r>
      <w:r w:rsidRPr="004F3DBD">
        <w:t xml:space="preserve"> </w:t>
      </w:r>
      <w:r>
        <w:t>ainda</w:t>
      </w:r>
      <w:r w:rsidRPr="004F3DBD">
        <w:t xml:space="preserve"> </w:t>
      </w:r>
      <w:r>
        <w:t>não</w:t>
      </w:r>
      <w:r w:rsidRPr="004F3DBD">
        <w:t xml:space="preserve"> </w:t>
      </w:r>
      <w:r>
        <w:t>sejam</w:t>
      </w:r>
      <w:r w:rsidRPr="004F3DBD">
        <w:t xml:space="preserve"> </w:t>
      </w:r>
      <w:r>
        <w:t>visualizados,</w:t>
      </w:r>
      <w:r w:rsidRPr="004F3DBD">
        <w:t xml:space="preserve"> </w:t>
      </w:r>
      <w:r>
        <w:t>na</w:t>
      </w:r>
      <w:r w:rsidRPr="004F3DBD">
        <w:t xml:space="preserve"> </w:t>
      </w:r>
      <w:r>
        <w:t>prática,</w:t>
      </w:r>
      <w:r w:rsidRPr="004F3DBD">
        <w:t xml:space="preserve"> </w:t>
      </w:r>
      <w:r>
        <w:t>na</w:t>
      </w:r>
      <w:r w:rsidRPr="004F3DBD">
        <w:t xml:space="preserve"> </w:t>
      </w:r>
      <w:r>
        <w:t>maioria</w:t>
      </w:r>
      <w:r w:rsidRPr="004F3DBD">
        <w:t xml:space="preserve"> </w:t>
      </w:r>
      <w:r>
        <w:t>dos</w:t>
      </w:r>
      <w:r w:rsidRPr="004F3DBD">
        <w:t xml:space="preserve"> </w:t>
      </w:r>
      <w:r>
        <w:t>entes</w:t>
      </w:r>
      <w:r w:rsidRPr="004F3DBD">
        <w:t xml:space="preserve"> </w:t>
      </w:r>
      <w:r>
        <w:t>federativos.</w:t>
      </w:r>
      <w:r w:rsidRPr="004F3DBD">
        <w:t xml:space="preserve"> </w:t>
      </w:r>
    </w:p>
    <w:p w14:paraId="7A52F585" w14:textId="2A149B31" w:rsidR="008932DC" w:rsidRPr="004F3DBD" w:rsidRDefault="008932DC" w:rsidP="008932DC">
      <w:pPr>
        <w:pStyle w:val="Ttulo1"/>
        <w:rPr>
          <w:sz w:val="40"/>
          <w:szCs w:val="40"/>
        </w:rPr>
      </w:pPr>
      <w:r w:rsidRPr="004F3DBD">
        <w:rPr>
          <w:color w:val="2F5496"/>
          <w:sz w:val="40"/>
          <w:szCs w:val="40"/>
        </w:rPr>
        <w:t>Conclusão</w:t>
      </w:r>
    </w:p>
    <w:p w14:paraId="5BA1ED0B" w14:textId="77777777" w:rsidR="008932DC" w:rsidRDefault="008932DC" w:rsidP="008932DC">
      <w:pPr>
        <w:pStyle w:val="Corpodetexto"/>
        <w:spacing w:before="2"/>
        <w:rPr>
          <w:rFonts w:ascii="Calibri Light"/>
          <w:sz w:val="28"/>
        </w:rPr>
      </w:pPr>
    </w:p>
    <w:p w14:paraId="6E0FB767" w14:textId="77777777" w:rsidR="008932DC" w:rsidRDefault="008932DC" w:rsidP="008932DC">
      <w:pPr>
        <w:pStyle w:val="Corpodetexto"/>
        <w:spacing w:line="276" w:lineRule="auto"/>
        <w:ind w:left="119" w:right="114" w:firstLine="708"/>
        <w:jc w:val="both"/>
      </w:pPr>
      <w:r>
        <w:t>A</w:t>
      </w:r>
      <w:r>
        <w:rPr>
          <w:spacing w:val="-3"/>
        </w:rPr>
        <w:t xml:space="preserve"> </w:t>
      </w:r>
      <w:r>
        <w:t>princípio,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teria</w:t>
      </w:r>
      <w:r>
        <w:rPr>
          <w:spacing w:val="-3"/>
        </w:rPr>
        <w:t xml:space="preserve"> </w:t>
      </w:r>
      <w:r>
        <w:t>efeitos</w:t>
      </w:r>
      <w:r>
        <w:rPr>
          <w:spacing w:val="-3"/>
        </w:rPr>
        <w:t xml:space="preserve"> </w:t>
      </w:r>
      <w:r>
        <w:t>diretos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modelos</w:t>
      </w:r>
      <w:r>
        <w:rPr>
          <w:spacing w:val="-3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estudamos e defendemos na PARC. O que precisaríamos observar seria o impacto da</w:t>
      </w:r>
      <w:r>
        <w:rPr>
          <w:spacing w:val="1"/>
        </w:rPr>
        <w:t xml:space="preserve"> </w:t>
      </w:r>
      <w:r>
        <w:t>retirada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Valor</w:t>
      </w:r>
      <w:r>
        <w:rPr>
          <w:spacing w:val="52"/>
        </w:rPr>
        <w:t xml:space="preserve"> </w:t>
      </w:r>
      <w:r>
        <w:t>Adicionado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inserção</w:t>
      </w:r>
      <w:r>
        <w:rPr>
          <w:spacing w:val="52"/>
        </w:rPr>
        <w:t xml:space="preserve"> </w:t>
      </w:r>
      <w:r>
        <w:t>das</w:t>
      </w:r>
      <w:r>
        <w:rPr>
          <w:spacing w:val="52"/>
        </w:rPr>
        <w:t xml:space="preserve"> </w:t>
      </w:r>
      <w:r>
        <w:t>variáveis</w:t>
      </w:r>
      <w:r>
        <w:rPr>
          <w:spacing w:val="52"/>
        </w:rPr>
        <w:t xml:space="preserve"> </w:t>
      </w:r>
      <w:r>
        <w:t>população</w:t>
      </w:r>
      <w:r>
        <w:rPr>
          <w:spacing w:val="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igualitário/equitativo.</w:t>
      </w:r>
    </w:p>
    <w:p w14:paraId="6BFBE6A6" w14:textId="77777777" w:rsidR="008932DC" w:rsidRDefault="008932DC" w:rsidP="008932DC">
      <w:pPr>
        <w:pStyle w:val="Corpodetexto"/>
        <w:spacing w:before="7"/>
        <w:rPr>
          <w:sz w:val="27"/>
        </w:rPr>
      </w:pPr>
    </w:p>
    <w:p w14:paraId="39CC4E70" w14:textId="77777777" w:rsidR="008932DC" w:rsidRDefault="008932DC" w:rsidP="008932DC">
      <w:pPr>
        <w:pStyle w:val="Corpodetexto"/>
        <w:spacing w:line="276" w:lineRule="auto"/>
        <w:ind w:left="119" w:right="114" w:firstLine="708"/>
        <w:jc w:val="both"/>
      </w:pPr>
      <w:r>
        <w:t>Se essa exclusão acontecesse sem uma transição e sem compensações, poder-</w:t>
      </w:r>
      <w:r>
        <w:rPr>
          <w:spacing w:val="1"/>
        </w:rPr>
        <w:t xml:space="preserve"> </w:t>
      </w:r>
      <w:r>
        <w:t>se-ia afirmar que haveria pressões dos municípios economicamente mais importantes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avançássemos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fração</w:t>
      </w:r>
      <w:r>
        <w:rPr>
          <w:spacing w:val="1"/>
        </w:rPr>
        <w:t xml:space="preserve"> </w:t>
      </w:r>
      <w:r>
        <w:t>legislada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(os</w:t>
      </w:r>
      <w:r>
        <w:rPr>
          <w:spacing w:val="1"/>
        </w:rPr>
        <w:t xml:space="preserve"> </w:t>
      </w:r>
      <w:r>
        <w:t>35%)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econômicos.</w:t>
      </w:r>
      <w:r>
        <w:rPr>
          <w:spacing w:val="-2"/>
        </w:rPr>
        <w:t xml:space="preserve"> </w:t>
      </w:r>
      <w:r>
        <w:t>Esse é um risco</w:t>
      </w:r>
      <w:r>
        <w:rPr>
          <w:spacing w:val="-1"/>
        </w:rPr>
        <w:t xml:space="preserve"> </w:t>
      </w:r>
      <w:r>
        <w:t>que se corre.</w:t>
      </w:r>
    </w:p>
    <w:p w14:paraId="6DE9FA53" w14:textId="77777777" w:rsidR="008932DC" w:rsidRDefault="008932DC" w:rsidP="008932DC">
      <w:pPr>
        <w:pStyle w:val="Corpodetexto"/>
        <w:spacing w:before="8"/>
        <w:rPr>
          <w:sz w:val="27"/>
        </w:rPr>
      </w:pPr>
    </w:p>
    <w:p w14:paraId="4435219C" w14:textId="77777777" w:rsidR="008932DC" w:rsidRDefault="008932DC" w:rsidP="008932DC">
      <w:pPr>
        <w:pStyle w:val="Corpodetexto"/>
        <w:spacing w:line="276" w:lineRule="auto"/>
        <w:ind w:left="119" w:right="114" w:firstLine="708"/>
        <w:jc w:val="both"/>
      </w:pPr>
      <w:r>
        <w:t>Acontece, entretanto, que há regras de transição propostas de 2029 até 2078,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compensação,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mitigar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transformações</w:t>
      </w:r>
      <w:r>
        <w:rPr>
          <w:spacing w:val="-9"/>
        </w:rPr>
        <w:t xml:space="preserve"> </w:t>
      </w:r>
      <w:r>
        <w:t>fiscais</w:t>
      </w:r>
      <w:r>
        <w:rPr>
          <w:spacing w:val="-9"/>
        </w:rPr>
        <w:t xml:space="preserve"> </w:t>
      </w:r>
      <w:r>
        <w:t>negativas</w:t>
      </w:r>
      <w:r>
        <w:rPr>
          <w:spacing w:val="-9"/>
        </w:rPr>
        <w:t xml:space="preserve"> </w:t>
      </w:r>
      <w:r>
        <w:t>(a</w:t>
      </w:r>
      <w:r>
        <w:rPr>
          <w:spacing w:val="-9"/>
        </w:rPr>
        <w:t xml:space="preserve"> </w:t>
      </w:r>
      <w:r>
        <w:t>nível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receita)</w:t>
      </w:r>
      <w:r>
        <w:rPr>
          <w:spacing w:val="-9"/>
        </w:rPr>
        <w:t xml:space="preserve"> </w:t>
      </w:r>
      <w:r>
        <w:t>oriundas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novo</w:t>
      </w:r>
      <w:r>
        <w:rPr>
          <w:spacing w:val="-9"/>
        </w:rPr>
        <w:t xml:space="preserve"> </w:t>
      </w:r>
      <w:r>
        <w:t>modelo</w:t>
      </w:r>
      <w:r>
        <w:rPr>
          <w:spacing w:val="-10"/>
        </w:rPr>
        <w:t xml:space="preserve"> </w:t>
      </w:r>
      <w:r>
        <w:t>proposto.</w:t>
      </w:r>
    </w:p>
    <w:p w14:paraId="45574765" w14:textId="77777777" w:rsidR="008932DC" w:rsidRDefault="008932DC" w:rsidP="008932DC">
      <w:pPr>
        <w:pStyle w:val="Corpodetexto"/>
        <w:spacing w:before="3"/>
        <w:rPr>
          <w:sz w:val="27"/>
        </w:rPr>
      </w:pPr>
    </w:p>
    <w:p w14:paraId="405AD2D8" w14:textId="77777777" w:rsidR="008932DC" w:rsidRDefault="008932DC" w:rsidP="008932DC">
      <w:pPr>
        <w:pStyle w:val="Corpodetexto"/>
        <w:spacing w:before="1" w:line="278" w:lineRule="auto"/>
        <w:ind w:left="119" w:right="114" w:firstLine="708"/>
        <w:jc w:val="both"/>
      </w:pPr>
      <w:r>
        <w:t>A</w:t>
      </w:r>
      <w:r>
        <w:rPr>
          <w:spacing w:val="-13"/>
        </w:rPr>
        <w:t xml:space="preserve"> </w:t>
      </w:r>
      <w:r>
        <w:t>complexidade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regra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transição</w:t>
      </w:r>
      <w:r>
        <w:rPr>
          <w:spacing w:val="-12"/>
        </w:rPr>
        <w:t xml:space="preserve"> </w:t>
      </w:r>
      <w:r>
        <w:t>exige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aguardemos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movimentação</w:t>
      </w:r>
      <w:r>
        <w:rPr>
          <w:spacing w:val="-12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rPr>
          <w:spacing w:val="-1"/>
        </w:rPr>
        <w:t>Senado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verificação</w:t>
      </w:r>
      <w:r>
        <w:rPr>
          <w:spacing w:val="-13"/>
        </w:rPr>
        <w:t xml:space="preserve"> </w:t>
      </w:r>
      <w:r>
        <w:rPr>
          <w:spacing w:val="-1"/>
        </w:rPr>
        <w:t>daquilo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confirmaria</w:t>
      </w:r>
      <w:r>
        <w:rPr>
          <w:spacing w:val="-12"/>
        </w:rPr>
        <w:t xml:space="preserve"> </w:t>
      </w:r>
      <w:r>
        <w:t>e,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conseguinte,</w:t>
      </w:r>
      <w:r>
        <w:rPr>
          <w:spacing w:val="-13"/>
        </w:rPr>
        <w:t xml:space="preserve"> </w:t>
      </w:r>
      <w:r>
        <w:t>poderia</w:t>
      </w:r>
      <w:r>
        <w:rPr>
          <w:spacing w:val="-13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efeito</w:t>
      </w:r>
      <w:r>
        <w:rPr>
          <w:spacing w:val="-52"/>
        </w:rPr>
        <w:t xml:space="preserve"> </w:t>
      </w:r>
      <w:r>
        <w:t>indireto.</w:t>
      </w:r>
    </w:p>
    <w:p w14:paraId="77578A8C" w14:textId="77777777" w:rsidR="008932DC" w:rsidRDefault="008932DC" w:rsidP="008932DC">
      <w:pPr>
        <w:pStyle w:val="Corpodetexto"/>
        <w:spacing w:before="11"/>
        <w:rPr>
          <w:sz w:val="26"/>
        </w:rPr>
      </w:pPr>
    </w:p>
    <w:p w14:paraId="746B1424" w14:textId="77777777" w:rsidR="008932DC" w:rsidRDefault="008932DC" w:rsidP="008932DC">
      <w:pPr>
        <w:pStyle w:val="Corpodetexto"/>
        <w:spacing w:line="276" w:lineRule="auto"/>
        <w:ind w:left="119" w:right="114" w:firstLine="708"/>
        <w:jc w:val="both"/>
      </w:pPr>
      <w:r>
        <w:t>O texto proposto na Câmara não apresenta impactos até 2028; de 2029 a 2032,</w:t>
      </w:r>
      <w:r>
        <w:rPr>
          <w:spacing w:val="-52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mínimos</w:t>
      </w:r>
      <w:r>
        <w:rPr>
          <w:spacing w:val="-3"/>
        </w:rPr>
        <w:t xml:space="preserve"> </w:t>
      </w:r>
      <w:r>
        <w:t>impactos;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2033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diante</w:t>
      </w:r>
      <w:r>
        <w:rPr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prática</w:t>
      </w:r>
      <w:r>
        <w:rPr>
          <w:spacing w:val="-4"/>
        </w:rPr>
        <w:t xml:space="preserve"> </w:t>
      </w:r>
      <w:r>
        <w:t>pura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cobrança</w:t>
      </w:r>
      <w:r>
        <w:rPr>
          <w:spacing w:val="-4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IBS), dependerá de como a regra de transição se firmar. A ser mantida a regra de</w:t>
      </w:r>
      <w:r>
        <w:rPr>
          <w:spacing w:val="1"/>
        </w:rPr>
        <w:t xml:space="preserve"> </w:t>
      </w:r>
      <w:r>
        <w:t xml:space="preserve">transição proposta pelo texto da Câmara, são impactos difíceis/impossíveis </w:t>
      </w:r>
      <w:r>
        <w:lastRenderedPageBreak/>
        <w:t>de serem</w:t>
      </w:r>
      <w:r>
        <w:rPr>
          <w:spacing w:val="1"/>
        </w:rPr>
        <w:t xml:space="preserve"> </w:t>
      </w:r>
      <w:r>
        <w:t>mensurados, mas que, pelos mecanismos de compensação e pela longa transição,</w:t>
      </w:r>
      <w:r>
        <w:rPr>
          <w:spacing w:val="1"/>
        </w:rPr>
        <w:t xml:space="preserve"> </w:t>
      </w:r>
      <w:r>
        <w:t>tendem</w:t>
      </w:r>
      <w:r>
        <w:rPr>
          <w:spacing w:val="-1"/>
        </w:rPr>
        <w:t xml:space="preserve"> </w:t>
      </w:r>
      <w:r>
        <w:t>a não “incomodar” o projeto educacional.</w:t>
      </w:r>
    </w:p>
    <w:p w14:paraId="4AF0AFE0" w14:textId="77777777" w:rsidR="008932DC" w:rsidRDefault="008932DC" w:rsidP="008932DC">
      <w:pPr>
        <w:pStyle w:val="Corpodetexto"/>
        <w:spacing w:before="11"/>
        <w:rPr>
          <w:sz w:val="27"/>
        </w:rPr>
      </w:pPr>
    </w:p>
    <w:p w14:paraId="0E97F587" w14:textId="77777777" w:rsidR="008932DC" w:rsidRDefault="008932DC" w:rsidP="008932DC">
      <w:pPr>
        <w:pStyle w:val="Corpodetexto"/>
        <w:spacing w:line="276" w:lineRule="auto"/>
        <w:ind w:left="119" w:right="114" w:firstLine="708"/>
        <w:jc w:val="both"/>
      </w:pPr>
      <w:r>
        <w:t>Importante,</w:t>
      </w:r>
      <w:r>
        <w:rPr>
          <w:spacing w:val="-11"/>
        </w:rPr>
        <w:t xml:space="preserve"> </w:t>
      </w:r>
      <w:r>
        <w:t>também,</w:t>
      </w:r>
      <w:r>
        <w:rPr>
          <w:spacing w:val="-10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esquecermos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complementar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ainda</w:t>
      </w:r>
      <w:r>
        <w:rPr>
          <w:spacing w:val="-10"/>
        </w:rPr>
        <w:t xml:space="preserve"> </w:t>
      </w:r>
      <w:r>
        <w:t>será</w:t>
      </w:r>
      <w:r>
        <w:rPr>
          <w:spacing w:val="-52"/>
        </w:rPr>
        <w:t xml:space="preserve"> </w:t>
      </w:r>
      <w:r>
        <w:t>proposta,</w:t>
      </w:r>
      <w:r>
        <w:rPr>
          <w:spacing w:val="-10"/>
        </w:rPr>
        <w:t xml:space="preserve"> </w:t>
      </w:r>
      <w:r>
        <w:t>posteriormente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aprovação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Emenda,</w:t>
      </w:r>
      <w:r>
        <w:rPr>
          <w:spacing w:val="-9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eventuais</w:t>
      </w:r>
      <w:r>
        <w:rPr>
          <w:spacing w:val="-9"/>
        </w:rPr>
        <w:t xml:space="preserve"> </w:t>
      </w:r>
      <w:r>
        <w:t>alterações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texto</w:t>
      </w:r>
      <w:r>
        <w:rPr>
          <w:spacing w:val="-10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PEC no Senado, da composição do Conselho Federativo do IBS, do poder do senado em</w:t>
      </w:r>
      <w:r>
        <w:rPr>
          <w:spacing w:val="-52"/>
        </w:rPr>
        <w:t xml:space="preserve"> </w:t>
      </w:r>
      <w:r>
        <w:t>estabelecer resoluções para alíquotas de referência (regime de compensação). Todos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exigem</w:t>
      </w:r>
      <w:r>
        <w:rPr>
          <w:spacing w:val="1"/>
        </w:rPr>
        <w:t xml:space="preserve"> </w:t>
      </w:r>
      <w:r>
        <w:t>acompanhamento,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entendermos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provocados no período de transição e as consequentes/eventuais pressões dos entes</w:t>
      </w:r>
      <w:r>
        <w:rPr>
          <w:spacing w:val="1"/>
        </w:rPr>
        <w:t xml:space="preserve"> </w:t>
      </w:r>
      <w:r>
        <w:t>desfavorecidos para futuras alterações na parcela de reponsabilidade do Estado (os</w:t>
      </w:r>
      <w:r>
        <w:rPr>
          <w:spacing w:val="1"/>
        </w:rPr>
        <w:t xml:space="preserve"> </w:t>
      </w:r>
      <w:r>
        <w:t>35%).</w:t>
      </w:r>
    </w:p>
    <w:p w14:paraId="54A99EFA" w14:textId="76B2E4A7" w:rsidR="008932DC" w:rsidRDefault="008932DC" w:rsidP="008932DC">
      <w:pPr>
        <w:pStyle w:val="Corpodetexto"/>
        <w:spacing w:line="278" w:lineRule="auto"/>
        <w:ind w:left="119" w:right="114" w:firstLine="708"/>
        <w:jc w:val="both"/>
      </w:pPr>
    </w:p>
    <w:p w14:paraId="04D03B8A" w14:textId="77777777" w:rsidR="008932DC" w:rsidRDefault="008932DC" w:rsidP="008932DC">
      <w:pPr>
        <w:pStyle w:val="Corpodetexto"/>
        <w:spacing w:line="278" w:lineRule="auto"/>
        <w:ind w:left="119" w:right="114" w:firstLine="708"/>
        <w:jc w:val="both"/>
      </w:pPr>
    </w:p>
    <w:p w14:paraId="74B1AB94" w14:textId="77777777" w:rsidR="008932DC" w:rsidRDefault="008932DC" w:rsidP="008932DC">
      <w:pPr>
        <w:pStyle w:val="Corpodetexto"/>
        <w:spacing w:line="278" w:lineRule="auto"/>
        <w:ind w:left="119" w:right="114" w:firstLine="708"/>
        <w:jc w:val="both"/>
      </w:pPr>
    </w:p>
    <w:p w14:paraId="63ECDB58" w14:textId="0479E31E" w:rsidR="00E47B47" w:rsidRDefault="00E47B47" w:rsidP="00E47B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sectPr w:rsidR="00E47B47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D45C" w14:textId="77777777" w:rsidR="00271EC1" w:rsidRDefault="00271EC1" w:rsidP="00805D17">
      <w:pPr>
        <w:spacing w:after="0" w:line="240" w:lineRule="auto"/>
      </w:pPr>
      <w:r>
        <w:separator/>
      </w:r>
    </w:p>
  </w:endnote>
  <w:endnote w:type="continuationSeparator" w:id="0">
    <w:p w14:paraId="1D01D181" w14:textId="77777777" w:rsidR="00271EC1" w:rsidRDefault="00271EC1" w:rsidP="0080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426A" w14:textId="77777777" w:rsidR="00271EC1" w:rsidRDefault="00271EC1" w:rsidP="00805D17">
      <w:pPr>
        <w:spacing w:after="0" w:line="240" w:lineRule="auto"/>
      </w:pPr>
      <w:r>
        <w:separator/>
      </w:r>
    </w:p>
  </w:footnote>
  <w:footnote w:type="continuationSeparator" w:id="0">
    <w:p w14:paraId="790606D5" w14:textId="77777777" w:rsidR="00271EC1" w:rsidRDefault="00271EC1" w:rsidP="0080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99E5" w14:textId="77777777" w:rsidR="0065553E" w:rsidRDefault="00000000">
    <w:pPr>
      <w:pStyle w:val="Cabealho"/>
    </w:pPr>
    <w:r>
      <w:pict w14:anchorId="0B6C2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5157" o:spid="_x0000_s1026" type="#_x0000_t75" style="position:absolute;margin-left:0;margin-top:0;width:424.95pt;height:601.1pt;z-index:-251657216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652B" w14:textId="77777777" w:rsidR="0065553E" w:rsidRDefault="00000000">
    <w:pPr>
      <w:pStyle w:val="Cabealho"/>
    </w:pPr>
    <w:r>
      <w:pict w14:anchorId="4E652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5158" o:spid="_x0000_s1027" type="#_x0000_t75" style="position:absolute;margin-left:-85.25pt;margin-top:-71.05pt;width:597.2pt;height:844.7pt;z-index:-251656192;mso-position-horizontal-relative:margin;mso-position-vertical-relative:margin" o:allowincell="f">
          <v:imagedata r:id="rId1" o:title="Captur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48A9" w14:textId="77777777" w:rsidR="0065553E" w:rsidRDefault="00000000">
    <w:pPr>
      <w:pStyle w:val="Cabealho"/>
    </w:pPr>
    <w:r>
      <w:pict w14:anchorId="1A8F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5156" o:spid="_x0000_s1025" type="#_x0000_t75" style="position:absolute;margin-left:0;margin-top:0;width:424.95pt;height:601.1pt;z-index:-251658240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257F9"/>
    <w:multiLevelType w:val="hybridMultilevel"/>
    <w:tmpl w:val="4950EC7C"/>
    <w:lvl w:ilvl="0" w:tplc="D9EAA326">
      <w:start w:val="1"/>
      <w:numFmt w:val="upperRoman"/>
      <w:lvlText w:val="%1"/>
      <w:lvlJc w:val="left"/>
      <w:pPr>
        <w:ind w:left="119" w:hanging="118"/>
      </w:pPr>
      <w:rPr>
        <w:rFonts w:ascii="Arial" w:eastAsia="Arial" w:hAnsi="Arial" w:cs="Arial" w:hint="default"/>
        <w:i/>
        <w:iCs/>
        <w:w w:val="100"/>
        <w:sz w:val="20"/>
        <w:szCs w:val="20"/>
        <w:lang w:val="pt-PT" w:eastAsia="en-US" w:bidi="ar-SA"/>
      </w:rPr>
    </w:lvl>
    <w:lvl w:ilvl="1" w:tplc="6C1A818C">
      <w:start w:val="1"/>
      <w:numFmt w:val="lowerLetter"/>
      <w:lvlText w:val="%2)"/>
      <w:lvlJc w:val="left"/>
      <w:pPr>
        <w:ind w:left="1777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62FAB05E">
      <w:numFmt w:val="bullet"/>
      <w:lvlText w:val="•"/>
      <w:lvlJc w:val="left"/>
      <w:pPr>
        <w:ind w:left="2553" w:hanging="243"/>
      </w:pPr>
      <w:rPr>
        <w:rFonts w:hint="default"/>
        <w:lang w:val="pt-PT" w:eastAsia="en-US" w:bidi="ar-SA"/>
      </w:rPr>
    </w:lvl>
    <w:lvl w:ilvl="3" w:tplc="72B299CE">
      <w:numFmt w:val="bullet"/>
      <w:lvlText w:val="•"/>
      <w:lvlJc w:val="left"/>
      <w:pPr>
        <w:ind w:left="3326" w:hanging="243"/>
      </w:pPr>
      <w:rPr>
        <w:rFonts w:hint="default"/>
        <w:lang w:val="pt-PT" w:eastAsia="en-US" w:bidi="ar-SA"/>
      </w:rPr>
    </w:lvl>
    <w:lvl w:ilvl="4" w:tplc="F064B7D2">
      <w:numFmt w:val="bullet"/>
      <w:lvlText w:val="•"/>
      <w:lvlJc w:val="left"/>
      <w:pPr>
        <w:ind w:left="4100" w:hanging="243"/>
      </w:pPr>
      <w:rPr>
        <w:rFonts w:hint="default"/>
        <w:lang w:val="pt-PT" w:eastAsia="en-US" w:bidi="ar-SA"/>
      </w:rPr>
    </w:lvl>
    <w:lvl w:ilvl="5" w:tplc="6FAC8B44">
      <w:numFmt w:val="bullet"/>
      <w:lvlText w:val="•"/>
      <w:lvlJc w:val="left"/>
      <w:pPr>
        <w:ind w:left="4873" w:hanging="243"/>
      </w:pPr>
      <w:rPr>
        <w:rFonts w:hint="default"/>
        <w:lang w:val="pt-PT" w:eastAsia="en-US" w:bidi="ar-SA"/>
      </w:rPr>
    </w:lvl>
    <w:lvl w:ilvl="6" w:tplc="431E6CB2">
      <w:numFmt w:val="bullet"/>
      <w:lvlText w:val="•"/>
      <w:lvlJc w:val="left"/>
      <w:pPr>
        <w:ind w:left="5646" w:hanging="243"/>
      </w:pPr>
      <w:rPr>
        <w:rFonts w:hint="default"/>
        <w:lang w:val="pt-PT" w:eastAsia="en-US" w:bidi="ar-SA"/>
      </w:rPr>
    </w:lvl>
    <w:lvl w:ilvl="7" w:tplc="63C615BE">
      <w:numFmt w:val="bullet"/>
      <w:lvlText w:val="•"/>
      <w:lvlJc w:val="left"/>
      <w:pPr>
        <w:ind w:left="6420" w:hanging="243"/>
      </w:pPr>
      <w:rPr>
        <w:rFonts w:hint="default"/>
        <w:lang w:val="pt-PT" w:eastAsia="en-US" w:bidi="ar-SA"/>
      </w:rPr>
    </w:lvl>
    <w:lvl w:ilvl="8" w:tplc="9F2CF0FA">
      <w:numFmt w:val="bullet"/>
      <w:lvlText w:val="•"/>
      <w:lvlJc w:val="left"/>
      <w:pPr>
        <w:ind w:left="7193" w:hanging="243"/>
      </w:pPr>
      <w:rPr>
        <w:rFonts w:hint="default"/>
        <w:lang w:val="pt-PT" w:eastAsia="en-US" w:bidi="ar-SA"/>
      </w:rPr>
    </w:lvl>
  </w:abstractNum>
  <w:num w:numId="1" w16cid:durableId="17223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17"/>
    <w:rsid w:val="00014BBB"/>
    <w:rsid w:val="0006225F"/>
    <w:rsid w:val="0017381E"/>
    <w:rsid w:val="00271EC1"/>
    <w:rsid w:val="00305A62"/>
    <w:rsid w:val="00472B65"/>
    <w:rsid w:val="004F1C33"/>
    <w:rsid w:val="004F3DBD"/>
    <w:rsid w:val="00582EF7"/>
    <w:rsid w:val="00621F60"/>
    <w:rsid w:val="0065553E"/>
    <w:rsid w:val="006E0847"/>
    <w:rsid w:val="007E0901"/>
    <w:rsid w:val="00805D17"/>
    <w:rsid w:val="0082650C"/>
    <w:rsid w:val="008932DC"/>
    <w:rsid w:val="009A4932"/>
    <w:rsid w:val="009E7258"/>
    <w:rsid w:val="00B045DB"/>
    <w:rsid w:val="00BB71DD"/>
    <w:rsid w:val="00BB7A1D"/>
    <w:rsid w:val="00BF24C6"/>
    <w:rsid w:val="00C31D7B"/>
    <w:rsid w:val="00C406AB"/>
    <w:rsid w:val="00DA212F"/>
    <w:rsid w:val="00E36B3C"/>
    <w:rsid w:val="00E47B47"/>
    <w:rsid w:val="00E54BD6"/>
    <w:rsid w:val="00F050B0"/>
    <w:rsid w:val="00F069ED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58C7"/>
  <w15:chartTrackingRefBased/>
  <w15:docId w15:val="{645CD4A5-DC4C-49AD-AB36-69F0A183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60"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8932DC"/>
    <w:pPr>
      <w:keepNext/>
      <w:keepLines/>
      <w:spacing w:before="480" w:after="120"/>
      <w:outlineLvl w:val="0"/>
    </w:pPr>
    <w:rPr>
      <w:rFonts w:ascii="Calibri" w:eastAsia="Calibri" w:hAnsi="Calibri" w:cs="Calibri"/>
      <w:b/>
      <w:noProof w:val="0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D17"/>
    <w:rPr>
      <w:noProof/>
    </w:rPr>
  </w:style>
  <w:style w:type="paragraph" w:styleId="Rodap">
    <w:name w:val="footer"/>
    <w:basedOn w:val="Normal"/>
    <w:link w:val="RodapChar"/>
    <w:uiPriority w:val="99"/>
    <w:unhideWhenUsed/>
    <w:rsid w:val="0080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D17"/>
    <w:rPr>
      <w:noProof/>
    </w:rPr>
  </w:style>
  <w:style w:type="paragraph" w:styleId="NormalWeb">
    <w:name w:val="Normal (Web)"/>
    <w:basedOn w:val="Normal"/>
    <w:uiPriority w:val="99"/>
    <w:semiHidden/>
    <w:unhideWhenUsed/>
    <w:rsid w:val="006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1F60"/>
    <w:rPr>
      <w:b/>
      <w:bCs/>
    </w:rPr>
  </w:style>
  <w:style w:type="character" w:customStyle="1" w:styleId="gmaildefault">
    <w:name w:val="gmail_default"/>
    <w:basedOn w:val="Fontepargpadro"/>
    <w:rsid w:val="007E0901"/>
  </w:style>
  <w:style w:type="character" w:customStyle="1" w:styleId="Ttulo1Char">
    <w:name w:val="Título 1 Char"/>
    <w:basedOn w:val="Fontepargpadro"/>
    <w:link w:val="Ttulo1"/>
    <w:uiPriority w:val="9"/>
    <w:rsid w:val="008932DC"/>
    <w:rPr>
      <w:rFonts w:ascii="Calibri" w:eastAsia="Calibri" w:hAnsi="Calibri" w:cs="Calibri"/>
      <w:b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932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noProof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32DC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932DC"/>
    <w:pPr>
      <w:widowControl w:val="0"/>
      <w:autoSpaceDE w:val="0"/>
      <w:autoSpaceDN w:val="0"/>
      <w:spacing w:after="0" w:line="240" w:lineRule="auto"/>
      <w:ind w:left="119" w:right="114"/>
      <w:jc w:val="both"/>
    </w:pPr>
    <w:rPr>
      <w:rFonts w:ascii="Calibri" w:eastAsia="Calibri" w:hAnsi="Calibri" w:cs="Calibri"/>
      <w:noProof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04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619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66409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4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3E2C-F563-48F9-BE6F-1DAD4A41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Miqueias Maia</dc:creator>
  <cp:keywords/>
  <dc:description/>
  <cp:lastModifiedBy>Associação Bem Comum</cp:lastModifiedBy>
  <cp:revision>2</cp:revision>
  <cp:lastPrinted>2019-02-20T23:56:00Z</cp:lastPrinted>
  <dcterms:created xsi:type="dcterms:W3CDTF">2023-07-13T15:48:00Z</dcterms:created>
  <dcterms:modified xsi:type="dcterms:W3CDTF">2023-07-13T15:48:00Z</dcterms:modified>
</cp:coreProperties>
</file>